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附件3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rPr>
        <w:t>申报单位</w:t>
      </w:r>
      <w:r>
        <w:rPr>
          <w:rFonts w:hint="eastAsia" w:ascii="仿宋_GB2312" w:hAnsi="仿宋_GB2312" w:eastAsia="仿宋_GB2312" w:cs="仿宋_GB2312"/>
          <w:sz w:val="30"/>
          <w:lang w:eastAsia="zh-CN"/>
        </w:rPr>
        <w:t>（加盖公章）</w:t>
      </w:r>
      <w:r>
        <w:rPr>
          <w:rFonts w:hint="eastAsia" w:ascii="仿宋_GB2312" w:hAnsi="仿宋_GB2312" w:eastAsia="仿宋_GB2312" w:cs="仿宋_GB2312"/>
          <w:sz w:val="30"/>
        </w:rPr>
        <w:t>：</w:t>
      </w:r>
      <w:r>
        <w:rPr>
          <w:rFonts w:hint="eastAsia" w:ascii="仿宋_GB2312" w:hAnsi="仿宋_GB2312" w:eastAsia="仿宋_GB2312" w:cs="仿宋_GB2312"/>
          <w:sz w:val="30"/>
          <w:u w:val="single"/>
          <w:lang w:val="en-US" w:eastAsia="zh-CN"/>
        </w:rPr>
        <w:t xml:space="preserve">              </w:t>
      </w:r>
      <w:bookmarkStart w:id="0" w:name="_GoBack"/>
      <w:bookmarkEnd w:id="0"/>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所在地州市</w:t>
      </w:r>
      <w:r>
        <w:rPr>
          <w:rFonts w:hint="eastAsia" w:ascii="仿宋_GB2312" w:hAnsi="仿宋_GB2312" w:eastAsia="仿宋_GB2312" w:cs="仿宋_GB2312"/>
          <w:sz w:val="30"/>
        </w:rPr>
        <w:t>：</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企业法人：</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联系方式：</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联系人：</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联系方式（手机）：</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企业地址：</w:t>
      </w:r>
      <w:r>
        <w:rPr>
          <w:rFonts w:hint="eastAsia" w:ascii="仿宋_GB2312" w:hAnsi="仿宋_GB2312" w:eastAsia="仿宋_GB2312" w:cs="仿宋_GB2312"/>
          <w:sz w:val="30"/>
          <w:u w:val="single"/>
          <w:lang w:val="en-US" w:eastAsia="zh-CN"/>
        </w:rPr>
        <w:t xml:space="preserve">                          </w:t>
      </w: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hint="eastAsia" w:ascii="仿宋_GB2312" w:hAnsi="仿宋_GB2312" w:eastAsia="仿宋_GB2312" w:cs="仿宋_GB2312"/>
          <w:sz w:val="30"/>
          <w:lang w:val="en-US" w:eastAsia="zh-CN"/>
        </w:rPr>
      </w:pPr>
      <w:r>
        <w:rPr>
          <w:rFonts w:hint="eastAsia" w:ascii="仿宋_GB2312" w:hAnsi="仿宋_GB2312" w:eastAsia="仿宋_GB2312" w:cs="仿宋_GB2312"/>
          <w:sz w:val="30"/>
          <w:lang w:val="en-US" w:eastAsia="zh-CN"/>
        </w:rPr>
        <w:t xml:space="preserve">自治区工业和信息化厅制 </w:t>
      </w: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hint="eastAsia" w:ascii="仿宋_GB2312" w:hAnsi="仿宋_GB2312" w:eastAsia="仿宋_GB2312" w:cs="仿宋_GB2312"/>
          <w:b/>
          <w:sz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eastAsia" w:ascii="黑体" w:hAnsi="黑体" w:eastAsia="黑体" w:cs="黑体"/>
          <w:sz w:val="32"/>
          <w:szCs w:val="32"/>
          <w:lang w:eastAsia="zh-CN"/>
        </w:rPr>
        <w:t>一、企业</w:t>
      </w:r>
      <w:r>
        <w:rPr>
          <w:rFonts w:hint="eastAsia" w:ascii="黑体" w:hAnsi="黑体" w:eastAsia="黑体" w:cs="黑体"/>
          <w:sz w:val="32"/>
          <w:szCs w:val="32"/>
        </w:rPr>
        <w:t>基</w:t>
      </w:r>
      <w:r>
        <w:rPr>
          <w:rFonts w:ascii="Times New Roman" w:hAnsi="Times New Roman" w:eastAsia="黑体" w:cs="Times New Roman"/>
          <w:sz w:val="32"/>
          <w:szCs w:val="32"/>
        </w:rPr>
        <w:t>本信息表</w:t>
      </w:r>
    </w:p>
    <w:tbl>
      <w:tblPr>
        <w:tblStyle w:val="4"/>
        <w:tblW w:w="85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国有</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集体</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民营）</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中外合资</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港澳台</w:t>
            </w:r>
            <w:r>
              <w:rPr>
                <w:rFonts w:hint="eastAsia" w:ascii="仿宋" w:hAnsi="仿宋" w:eastAsia="仿宋" w:cs="华文中宋"/>
                <w:sz w:val="24"/>
                <w:szCs w:val="24"/>
              </w:rPr>
              <w:t>□</w:t>
            </w:r>
            <w:r>
              <w:rPr>
                <w:rFonts w:ascii="Times New Roman" w:hAnsi="Times New Roman" w:eastAsia="仿宋_GB2312"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bl>
    <w:p/>
    <w:p>
      <w:pPr>
        <w:numPr>
          <w:ilvl w:val="0"/>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产品名称</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产品型号</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产品品牌</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产品专利</w:t>
            </w: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产品功能描述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主要技术参数</w:t>
            </w:r>
          </w:p>
        </w:tc>
        <w:tc>
          <w:tcPr>
            <w:tcW w:w="6529" w:type="dxa"/>
            <w:gridSpan w:val="3"/>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522" w:type="dxa"/>
            <w:gridSpan w:val="4"/>
            <w:vAlign w:val="top"/>
          </w:tcPr>
          <w:p>
            <w:pPr>
              <w:spacing w:line="360" w:lineRule="auto"/>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近三年</w:t>
            </w:r>
            <w:r>
              <w:rPr>
                <w:rFonts w:hint="eastAsia" w:ascii="仿宋_GB2312" w:hAnsi="仿宋_GB2312" w:eastAsia="仿宋_GB2312" w:cs="仿宋_GB2312"/>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年份</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w:t>
            </w:r>
            <w:r>
              <w:rPr>
                <w:rFonts w:hint="eastAsia" w:ascii="仿宋_GB2312" w:hAnsi="仿宋_GB2312" w:eastAsia="仿宋_GB2312" w:cs="仿宋_GB2312"/>
                <w:sz w:val="24"/>
                <w:szCs w:val="24"/>
                <w:shd w:val="clear" w:color="auto" w:fill="FFFFFF"/>
              </w:rPr>
              <w:t>产量</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产品销售收入占总收入比重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993" w:type="dxa"/>
            <w:vAlign w:val="top"/>
          </w:tcPr>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产品利润额占</w:t>
            </w:r>
          </w:p>
          <w:p>
            <w:pPr>
              <w:spacing w:line="360" w:lineRule="auto"/>
              <w:jc w:val="center"/>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总额的比重</w:t>
            </w:r>
          </w:p>
        </w:tc>
        <w:tc>
          <w:tcPr>
            <w:tcW w:w="2267" w:type="dxa"/>
            <w:vAlign w:val="top"/>
          </w:tcPr>
          <w:p>
            <w:pPr>
              <w:spacing w:line="360" w:lineRule="auto"/>
              <w:rPr>
                <w:rFonts w:ascii="仿宋_GB2312" w:hAnsi="仿宋_GB2312" w:eastAsia="仿宋_GB2312" w:cs="仿宋_GB2312"/>
                <w:sz w:val="24"/>
                <w:szCs w:val="24"/>
                <w:shd w:val="clear" w:color="auto" w:fill="FFFFFF"/>
              </w:rPr>
            </w:pPr>
          </w:p>
        </w:tc>
        <w:tc>
          <w:tcPr>
            <w:tcW w:w="2034" w:type="dxa"/>
            <w:vAlign w:val="top"/>
          </w:tcPr>
          <w:p>
            <w:pPr>
              <w:spacing w:line="360" w:lineRule="auto"/>
              <w:rPr>
                <w:rFonts w:hint="eastAsia" w:ascii="仿宋_GB2312" w:hAnsi="仿宋_GB2312" w:eastAsia="仿宋_GB2312" w:cs="仿宋_GB2312"/>
                <w:sz w:val="24"/>
                <w:szCs w:val="24"/>
                <w:shd w:val="clear" w:color="auto" w:fill="FFFFFF"/>
              </w:rPr>
            </w:pPr>
          </w:p>
        </w:tc>
        <w:tc>
          <w:tcPr>
            <w:tcW w:w="2228" w:type="dxa"/>
            <w:vAlign w:val="top"/>
          </w:tcPr>
          <w:p>
            <w:pPr>
              <w:spacing w:line="360" w:lineRule="auto"/>
              <w:rPr>
                <w:rFonts w:ascii="仿宋_GB2312" w:hAnsi="仿宋_GB2312" w:eastAsia="仿宋_GB2312" w:cs="仿宋_GB2312"/>
                <w:sz w:val="24"/>
                <w:szCs w:val="24"/>
                <w:shd w:val="clear" w:color="auto" w:fill="FFFFFF"/>
              </w:rPr>
            </w:pPr>
          </w:p>
        </w:tc>
      </w:tr>
    </w:tbl>
    <w:p>
      <w:pPr>
        <w:numPr>
          <w:ilvl w:val="0"/>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adjustRightInd w:val="0"/>
        <w:snapToGrid w:val="0"/>
        <w:spacing w:line="360" w:lineRule="auto"/>
        <w:ind w:firstLine="645"/>
        <w:rPr>
          <w:rFonts w:hint="eastAsia" w:ascii="Times New Roman" w:hAnsi="Times New Roman" w:eastAsia="黑体" w:cs="Times New Roman"/>
          <w:bCs/>
          <w:sz w:val="32"/>
          <w:szCs w:val="32"/>
          <w:lang w:eastAsia="zh-CN"/>
        </w:rPr>
      </w:pPr>
      <w:r>
        <w:rPr>
          <w:rFonts w:hint="eastAsia" w:ascii="仿宋_GB2312" w:hAnsi="仿宋_GB2312" w:eastAsia="仿宋_GB2312" w:cs="仿宋_GB2312"/>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numPr>
          <w:ilvl w:val="0"/>
          <w:numId w:val="0"/>
        </w:num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adjustRightInd w:val="0"/>
        <w:snapToGrid w:val="0"/>
        <w:spacing w:before="156" w:beforeLines="50" w:after="156" w:afterLines="50" w:line="360" w:lineRule="auto"/>
        <w:outlineLvl w:val="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156" w:beforeLines="50" w:after="156" w:afterLines="50" w:line="360" w:lineRule="auto"/>
        <w:outlineLvl w:val="0"/>
        <w:rPr>
          <w:rFonts w:ascii="黑体" w:hAnsi="黑体" w:eastAsia="黑体" w:cs="黑体"/>
          <w:bCs/>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黑体" w:hAnsi="黑体" w:eastAsia="黑体" w:cs="黑体"/>
          <w:bCs/>
          <w:sz w:val="32"/>
          <w:szCs w:val="32"/>
          <w:shd w:val="clear" w:color="auto" w:fill="FFFFFF"/>
          <w:lang w:eastAsia="zh-CN"/>
        </w:rPr>
        <w:t>五、相关证明材料</w:t>
      </w:r>
    </w:p>
    <w:p>
      <w:pPr>
        <w:adjustRightInd w:val="0"/>
        <w:snapToGrid w:val="0"/>
        <w:spacing w:line="360" w:lineRule="auto"/>
        <w:ind w:firstLine="630"/>
        <w:rPr>
          <w:rFonts w:hint="eastAsia" w:ascii="仿宋_GB2312" w:hAnsi="仿宋_GB2312" w:eastAsia="仿宋_GB2312" w:cs="仿宋_GB2312"/>
          <w:sz w:val="32"/>
          <w:szCs w:val="32"/>
          <w:shd w:val="clear" w:color="auto" w:fill="FFFFFF"/>
        </w:rPr>
      </w:pP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企业法人证书</w:t>
      </w:r>
      <w:r>
        <w:rPr>
          <w:rFonts w:hint="eastAsia" w:ascii="仿宋_GB2312" w:hAnsi="仿宋_GB2312" w:eastAsia="仿宋_GB2312" w:cs="仿宋_GB2312"/>
          <w:sz w:val="32"/>
          <w:szCs w:val="32"/>
          <w:shd w:val="clear" w:color="auto" w:fill="FFFFFF"/>
        </w:rPr>
        <w:t>复印件</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sz w:val="32"/>
          <w:szCs w:val="32"/>
          <w:shd w:val="clear" w:color="auto" w:fill="FFFFFF"/>
        </w:rPr>
        <w:t>加盖公章</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、注册商标证明（授权书）、品牌授权书；</w:t>
      </w:r>
    </w:p>
    <w:p>
      <w:pPr>
        <w:adjustRightInd w:val="0"/>
        <w:snapToGrid w:val="0"/>
        <w:spacing w:line="360" w:lineRule="auto"/>
        <w:ind w:firstLine="63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标准符合性证明材料</w:t>
      </w:r>
      <w:r>
        <w:rPr>
          <w:rFonts w:hint="eastAsia" w:ascii="仿宋_GB2312" w:hAnsi="仿宋_GB2312" w:eastAsia="仿宋_GB2312" w:cs="仿宋_GB2312"/>
          <w:sz w:val="32"/>
          <w:szCs w:val="32"/>
          <w:shd w:val="clear" w:color="auto" w:fill="FFFFFF"/>
          <w:lang w:eastAsia="zh-CN"/>
        </w:rPr>
        <w:t>（如具有相应资质的</w:t>
      </w:r>
      <w:r>
        <w:rPr>
          <w:rFonts w:hint="eastAsia" w:ascii="仿宋_GB2312" w:hAnsi="仿宋_GB2312" w:eastAsia="仿宋_GB2312" w:cs="仿宋_GB2312"/>
          <w:sz w:val="32"/>
          <w:szCs w:val="32"/>
          <w:shd w:val="clear" w:color="auto" w:fill="FFFFFF"/>
        </w:rPr>
        <w:t>检测机构出具的检测报告</w:t>
      </w:r>
      <w:r>
        <w:rPr>
          <w:rFonts w:hint="eastAsia" w:ascii="仿宋_GB2312" w:hAnsi="仿宋_GB2312" w:eastAsia="仿宋_GB2312" w:cs="仿宋_GB2312"/>
          <w:sz w:val="32"/>
          <w:szCs w:val="32"/>
          <w:shd w:val="clear" w:color="auto" w:fill="FFFFFF"/>
          <w:lang w:eastAsia="zh-CN"/>
        </w:rPr>
        <w:t>等）；</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4.企业对自评价结果的声明。</w:t>
      </w:r>
    </w:p>
    <w:p>
      <w:pPr>
        <w:adjustRightInd w:val="0"/>
        <w:snapToGrid w:val="0"/>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br w:type="page"/>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numPr>
          <w:ilvl w:val="0"/>
          <w:numId w:val="0"/>
        </w:numPr>
        <w:snapToGrid w:val="0"/>
        <w:spacing w:line="360" w:lineRule="auto"/>
        <w:jc w:val="center"/>
        <w:rPr>
          <w:rFonts w:hint="eastAsia" w:ascii="方正小标宋简体" w:hAnsi="方正小标宋简体" w:eastAsia="方正小标宋简体" w:cs="方正小标宋简体"/>
          <w:b w:val="0"/>
          <w:bCs/>
          <w:sz w:val="36"/>
          <w:szCs w:val="36"/>
          <w:shd w:val="clear" w:color="auto" w:fill="FFFFFF"/>
          <w:lang w:eastAsia="zh-CN"/>
        </w:rPr>
      </w:pPr>
      <w:r>
        <w:rPr>
          <w:rFonts w:hint="eastAsia" w:ascii="方正小标宋简体" w:hAnsi="方正小标宋简体" w:eastAsia="方正小标宋简体" w:cs="方正小标宋简体"/>
          <w:b w:val="0"/>
          <w:bCs/>
          <w:sz w:val="36"/>
          <w:szCs w:val="36"/>
          <w:shd w:val="clear" w:color="auto" w:fill="FFFFFF"/>
          <w:lang w:eastAsia="zh-CN"/>
        </w:rPr>
        <w:t>×××绿色设计产品自我声明</w:t>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spacing w:line="360" w:lineRule="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eastAsia="zh-CN"/>
        </w:rPr>
        <w:t>本企业自愿申报绿色设计产品，并郑重声明：申报的绿色设计产品符合</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i/>
          <w:iCs/>
          <w:sz w:val="32"/>
          <w:szCs w:val="32"/>
          <w:shd w:val="clear" w:color="auto" w:fill="FFFFFF"/>
          <w:lang w:val="en-US" w:eastAsia="zh-CN"/>
        </w:rPr>
        <w:t>填写绿色设计评价标准名称</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numPr>
          <w:ilvl w:val="0"/>
          <w:numId w:val="0"/>
        </w:numPr>
        <w:snapToGrid w:val="0"/>
        <w:spacing w:line="360" w:lineRule="auto"/>
        <w:ind w:firstLine="640" w:firstLineChars="200"/>
        <w:rPr>
          <w:rFonts w:hint="eastAsia" w:ascii="黑体" w:hAnsi="黑体" w:eastAsia="黑体" w:cs="黑体"/>
          <w:bCs/>
          <w:sz w:val="32"/>
          <w:szCs w:val="32"/>
          <w:shd w:val="clear" w:color="auto" w:fill="FFFFFF"/>
          <w:lang w:eastAsia="zh-CN"/>
        </w:rPr>
      </w:pPr>
    </w:p>
    <w:p>
      <w:pPr>
        <w:adjustRightInd w:val="0"/>
        <w:snapToGrid w:val="0"/>
        <w:spacing w:line="360" w:lineRule="auto"/>
        <w:ind w:firstLine="640" w:firstLineChars="200"/>
        <w:rPr>
          <w:rFonts w:hint="eastAsia" w:ascii="Times New Roman" w:hAnsi="Times New Roman" w:eastAsia="黑体" w:cs="Times New Roman"/>
          <w:bCs/>
          <w:sz w:val="32"/>
          <w:szCs w:val="32"/>
          <w:lang w:eastAsia="zh-CN"/>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rPr>
          <w:rFonts w:hint="eastAsia" w:ascii="黑体" w:hAnsi="黑体" w:eastAsia="黑体" w:cs="黑体"/>
          <w:sz w:val="36"/>
          <w:szCs w:val="36"/>
          <w:shd w:val="clear" w:color="auto" w:fill="FFFFFF"/>
        </w:rPr>
      </w:pPr>
      <w:r>
        <w:rPr>
          <w:rFonts w:hint="eastAsia" w:ascii="黑体" w:hAnsi="黑体" w:eastAsia="黑体" w:cs="黑体"/>
          <w:sz w:val="36"/>
          <w:szCs w:val="36"/>
          <w:shd w:val="clear" w:color="auto" w:fill="FFFFFF"/>
        </w:rPr>
        <w:t>绿色设计产品评价标准清单</w:t>
      </w: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6"/>
        <w:gridCol w:w="4860"/>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2"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ascii="仿宋_GB2312" w:hAnsi="宋体" w:eastAsia="仿宋_GB2312" w:cs="仿宋_GB2312"/>
                <w:b/>
                <w:bCs/>
                <w:i w:val="0"/>
                <w:color w:val="auto"/>
                <w:sz w:val="24"/>
                <w:szCs w:val="24"/>
                <w:u w:val="none"/>
                <w:shd w:val="clear" w:color="auto" w:fill="auto"/>
              </w:rPr>
            </w:pPr>
            <w:r>
              <w:rPr>
                <w:rFonts w:hint="eastAsia" w:ascii="仿宋_GB2312" w:hAnsi="宋体" w:eastAsia="仿宋_GB2312" w:cs="仿宋_GB2312"/>
                <w:b/>
                <w:bCs/>
                <w:i w:val="0"/>
                <w:color w:val="auto"/>
                <w:kern w:val="0"/>
                <w:sz w:val="24"/>
                <w:szCs w:val="24"/>
                <w:u w:val="none"/>
                <w:shd w:val="clear" w:color="auto" w:fill="auto"/>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sz w:val="24"/>
                <w:szCs w:val="24"/>
                <w:u w:val="none"/>
                <w:shd w:val="clear" w:color="auto" w:fill="auto"/>
              </w:rPr>
            </w:pPr>
            <w:r>
              <w:rPr>
                <w:rFonts w:hint="eastAsia" w:ascii="仿宋_GB2312" w:hAnsi="宋体" w:eastAsia="仿宋_GB2312" w:cs="仿宋_GB2312"/>
                <w:b/>
                <w:bCs/>
                <w:i w:val="0"/>
                <w:color w:val="auto"/>
                <w:kern w:val="0"/>
                <w:sz w:val="24"/>
                <w:szCs w:val="24"/>
                <w:u w:val="none"/>
                <w:shd w:val="clear" w:color="auto" w:fill="auto"/>
                <w:lang w:val="en-US" w:eastAsia="zh-CN" w:bidi="ar"/>
              </w:rPr>
              <w:t>标准名称</w:t>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sz w:val="24"/>
                <w:szCs w:val="24"/>
                <w:u w:val="none"/>
                <w:shd w:val="clear" w:color="auto" w:fill="auto"/>
              </w:rPr>
            </w:pPr>
            <w:r>
              <w:rPr>
                <w:rFonts w:hint="eastAsia" w:ascii="仿宋_GB2312" w:hAnsi="宋体" w:eastAsia="仿宋_GB2312" w:cs="仿宋_GB2312"/>
                <w:b/>
                <w:bCs/>
                <w:i w:val="0"/>
                <w:color w:val="auto"/>
                <w:kern w:val="0"/>
                <w:sz w:val="24"/>
                <w:szCs w:val="24"/>
                <w:u w:val="none"/>
                <w:shd w:val="clear" w:color="auto" w:fill="auto"/>
                <w:lang w:val="en-US" w:eastAsia="zh-CN" w:bidi="ar"/>
              </w:rPr>
              <w:t>标准编号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《生态设计产品评价通则》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GB/T 32161-2015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《生态设计产品标识》</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GB/T 32162-2015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《生态设计产品评价规范 第1部分：家用洗涤剂》</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GB/T 32163.1-2015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《生态设计产品评价规范第2部分：可降解塑料》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GB/T 32163.2-2015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房间空气调节器》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6</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"http://www.miit.gov.cn/n1146285/n1146352/n3054355/n3057542/n5920352/c6547178/part/6547329.pdf"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电动洗衣机》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0002-2016，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0002-2016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7</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家用电冰箱》</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8</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吸油烟机》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9</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家用电磁灶》</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0005-2016，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0005-2016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10</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"http://www.miit.gov.cn/n1146285/n1146352/n3054355/n3057542/n5920352/c6547178/part/6547333.pdf"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电饭锅》</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0006-2016，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0006-2016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11</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储水式电热水器》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12</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空气净化器》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13</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《绿色设计产品评价规范 纯净水处理器》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0009-2016，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0009-2016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14</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卫生陶瓷》</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0010-2016，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15</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商用电磁灶》</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0017-2017，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16</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"http://www.miit.gov.cn/n1146285/n1146352/n3054355/n3057542/n5920352/c6547178/part/6547339.pdf"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商用厨房冰箱》</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0018-2017，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17</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商用电热开水器》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0019-2017，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18</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生活用纸》</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0020-2017，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0020-2017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19</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智能坐便器》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0021-2017，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0021-2017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20</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"http://www.miit.gov.cn/n1146285/n1146352/n3054355/n3057542/n5920352/c6547178/part/6547343.pdf"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铅酸蓄电池》</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21</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标牌》</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22</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丝绸（蚕丝）制品》</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23</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羊绒针织制品》</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24</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光网络终端》</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YDB 192-2017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25</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以太网交换机》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YDB 193-2017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26</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"http://www.miit.gov.cn/n1146285/n1146352/n3054355/n3057542/n5920352/c6547178/part/6547349.pdf"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电水壶》</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275-2017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27</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扫地机器人》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276-2017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28</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新风系统》</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277-2017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29</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智能马桶盖》</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278-2017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30</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"http://www.miit.gov.cn/n1146285/n1146352/n3054355/n3057542/n5920352/c6547178/part/6547353.pdf"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室内加热器》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279-2017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31</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水性建筑涂料》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T/CPCIF 0001-2017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32</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《绿色设计产品评价规范 厨房厨具用不锈钢》</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T/SSEA 0010-2018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33</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锂离子电池》</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280-2017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34</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打印机及多功能一体机》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T/CESA 1017-2018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35</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电视机》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T/CESA 1018-2018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36</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"http://www.miit.gov.cn/n1146285/n1146352/n3054355/n3057542/n5920352/c6547178/part/6547359.pdf"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微型计算机》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T/CESA 1019-2018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37</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智能终端 平板电脑》</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T/CESA 1020-2018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38</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汽车产品M1类传统能源车》</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TCMIF 16-2017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39</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移动通信终端》</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YDB 194-2017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40</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"http://www.miit.gov.cn/n1146285/n1146352/n3054355/n3057542/n5920352/c6547178/part/6547363.pdf"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稀土钢》</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0026-2018，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0026-2018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41</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铁精矿（露天开采）》</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0027-2018，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0027-2018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42</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烧结钕铁硼永磁材料》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0028-2018，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 xml:space="preserve">T/CAB </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0028-2018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43</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金属切削机床》</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T/CMIF 14-2017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44</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装载机》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T/CMIF 15-2017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45</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内燃机》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T/CMIF 16-2017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46</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"http://www.miit.gov.cn/n1146285/n1146352/n3054355/n3057542/n5920352/c6547178/part/6547369.pdf"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锑锭》</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T/CNIA 0004-2018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47</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稀土湿法冶炼分离产品》</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T/CNIA 0005-2018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48</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汽车轮胎》</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TCPCIF/</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49</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复合肥料》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TCPCIF/</w:t>
            </w:r>
            <w:r>
              <w:rPr>
                <w:rStyle w:val="8"/>
                <w:rFonts w:eastAsia="仿宋_GB2312"/>
                <w:color w:val="auto"/>
                <w:shd w:val="clear" w:color="auto" w:fill="auto"/>
                <w:lang w:val="en-US" w:eastAsia="zh-CN" w:bidi="ar"/>
              </w:rPr>
              <w:t xml:space="preserve"> </w:t>
            </w:r>
            <w:r>
              <w:rPr>
                <w:rStyle w:val="9"/>
                <w:rFonts w:hAnsi="宋体"/>
                <w:color w:val="auto"/>
                <w:shd w:val="clear" w:color="auto" w:fill="auto"/>
                <w:lang w:val="en-US" w:eastAsia="zh-CN" w:bidi="ar"/>
              </w:rPr>
              <w:t>0012-2018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50</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"http://www.miit.gov.cn/n1146285/n1146352/n3054355/n3057542/n5920352/c6547178/part/6547373.pdf"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电动工具》</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296-2017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51</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"http://www.miit.gov.cn/n1146285/n1146352/n3054355/n3057542/n5920352/c6547178/part/6547374.pdf"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家用及类似场所用过电流保护断路器》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334-2018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52</w:t>
            </w:r>
          </w:p>
        </w:tc>
        <w:tc>
          <w:tcPr>
            <w:tcW w:w="486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"http://www.miit.gov.cn/n1146285/n1146352/n3054355/n3057542/n5920352/c6547178/part/6547375.pdf"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塑料外壳式断路器》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T/CEEIA 335-2018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53</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"http://www.miit.gov.cn/n1146285/n1146352/n3054355/n3057542/n5920352/c6547178/part/6547376.pdf"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涤纶磨毛印染布》</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0030-2018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0030-2018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54</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"http://www.miit.gov.cn/n1146285/n1146352/n3054355/n3057542/n5920352/c6547178/part/6547377.pdf"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核电用不锈钢仪表管》</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0031-2018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0031-2018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55</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"http://www.miit.gov.cn/n1146285/n1146352/n3054355/n3057542/n5920352/c6547178/part/6547378.pdf"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盘管蒸汽发生器》</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0032-2018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0032-2018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56</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"http://www.miit.gov.cn/n1146285/n1146352/n3054355/n3057542/n5920352/c6547178/part/6547379.pdf"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真空热水机组》</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0033-2018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0033-2018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57</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"http://www.miit.gov.cn/n1146285/n1146352/n3054355/n3057542/n5920352/c6547178/part/6547380.pdf"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户外多用途面料》</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0034-2018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0034-2018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58</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"http://www.miit.gov.cn/n1146285/n1146352/n3054355/n3057542/n5920352/c6547178/part/6547381.pdf"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片式电子元器件用纸带》</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0041-2018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0041-2018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
              </w:rPr>
              <w:t>59</w:t>
            </w:r>
          </w:p>
        </w:tc>
        <w:tc>
          <w:tcPr>
            <w:tcW w:w="4860" w:type="dxa"/>
            <w:vMerge w:val="restart"/>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fldChar w:fldCharType="begin"/>
            </w:r>
            <w:r>
              <w:rPr>
                <w:rFonts w:hint="eastAsia" w:ascii="仿宋_GB2312" w:hAnsi="宋体" w:eastAsia="仿宋_GB2312" w:cs="仿宋_GB2312"/>
                <w:i w:val="0"/>
                <w:color w:val="auto"/>
                <w:kern w:val="0"/>
                <w:sz w:val="24"/>
                <w:szCs w:val="24"/>
                <w:u w:val="none"/>
                <w:shd w:val="clear" w:color="auto" w:fill="auto"/>
                <w:lang w:val="en-US" w:eastAsia="zh-CN" w:bidi="ar"/>
              </w:rPr>
              <w:instrText xml:space="preserve"> HYPERLINK "http://www.miit.gov.cn/n1146285/n1146352/n3054355/n3057542/n5920352/c6547178/part/6547382.pdf" \o "" </w:instrTex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separate"/>
            </w:r>
            <w:r>
              <w:rPr>
                <w:rStyle w:val="3"/>
                <w:rFonts w:hint="eastAsia" w:ascii="仿宋_GB2312" w:hAnsi="宋体" w:eastAsia="仿宋_GB2312" w:cs="仿宋_GB2312"/>
                <w:i w:val="0"/>
                <w:color w:val="auto"/>
                <w:sz w:val="24"/>
                <w:szCs w:val="24"/>
                <w:u w:val="none"/>
                <w:shd w:val="clear" w:color="auto" w:fill="auto"/>
              </w:rPr>
              <w:t>《绿色设计产品评价技术规范 滚筒洗衣机用无刷直流电动机》</w:t>
            </w:r>
            <w:r>
              <w:rPr>
                <w:rFonts w:hint="eastAsia" w:ascii="仿宋_GB2312" w:hAnsi="宋体" w:eastAsia="仿宋_GB2312" w:cs="仿宋_GB2312"/>
                <w:i w:val="0"/>
                <w:color w:val="auto"/>
                <w:kern w:val="0"/>
                <w:sz w:val="24"/>
                <w:szCs w:val="24"/>
                <w:u w:val="none"/>
                <w:shd w:val="clear" w:color="auto" w:fill="auto"/>
                <w:lang w:val="en-US" w:eastAsia="zh-CN" w:bidi="ar"/>
              </w:rPr>
              <w:fldChar w:fldCharType="end"/>
            </w: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T/CAGP 0042-2018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宋体" w:hAnsi="宋体" w:eastAsia="宋体" w:cs="宋体"/>
                <w:i w:val="0"/>
                <w:color w:val="auto"/>
                <w:sz w:val="21"/>
                <w:szCs w:val="21"/>
                <w:u w:val="none"/>
                <w:shd w:val="clear" w:color="auto" w:fill="auto"/>
              </w:rPr>
            </w:pPr>
          </w:p>
        </w:tc>
        <w:tc>
          <w:tcPr>
            <w:tcW w:w="4860" w:type="dxa"/>
            <w:vMerge w:val="continue"/>
            <w:tcBorders>
              <w:top w:val="single" w:color="000000" w:sz="4" w:space="0"/>
              <w:left w:val="single" w:color="000000" w:sz="4" w:space="0"/>
              <w:bottom w:val="single" w:color="000000" w:sz="4" w:space="0"/>
              <w:right w:val="single" w:color="000000" w:sz="4" w:space="0"/>
            </w:tcBorders>
            <w:shd w:val="clear" w:color="auto" w:fill="F9F9F9"/>
            <w:vAlign w:val="center"/>
          </w:tcPr>
          <w:p>
            <w:pPr>
              <w:jc w:val="center"/>
              <w:rPr>
                <w:rFonts w:hint="eastAsia" w:ascii="仿宋_GB2312" w:hAnsi="宋体" w:eastAsia="仿宋_GB2312" w:cs="仿宋_GB2312"/>
                <w:i w:val="0"/>
                <w:color w:val="auto"/>
                <w:sz w:val="24"/>
                <w:szCs w:val="24"/>
                <w:u w:val="none"/>
                <w:shd w:val="clear" w:color="auto" w:fill="auto"/>
              </w:rPr>
            </w:pPr>
          </w:p>
        </w:tc>
        <w:tc>
          <w:tcPr>
            <w:tcW w:w="2780"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shd w:val="clear" w:color="auto" w:fill="auto"/>
              </w:rPr>
            </w:pPr>
            <w:r>
              <w:rPr>
                <w:rFonts w:hint="eastAsia" w:ascii="仿宋_GB2312" w:hAnsi="宋体" w:eastAsia="仿宋_GB2312" w:cs="仿宋_GB2312"/>
                <w:i w:val="0"/>
                <w:color w:val="auto"/>
                <w:kern w:val="0"/>
                <w:sz w:val="24"/>
                <w:szCs w:val="24"/>
                <w:u w:val="none"/>
                <w:shd w:val="clear" w:color="auto" w:fill="auto"/>
                <w:lang w:val="en-US" w:eastAsia="zh-CN" w:bidi="ar"/>
              </w:rPr>
              <w:t>T/CAB 0042-2018</w:t>
            </w:r>
          </w:p>
        </w:tc>
      </w:tr>
    </w:tbl>
    <w:p>
      <w:pPr>
        <w:adjustRightInd w:val="0"/>
        <w:snapToGrid w:val="0"/>
        <w:spacing w:line="360" w:lineRule="auto"/>
        <w:jc w:val="center"/>
        <w:rPr>
          <w:rFonts w:hint="eastAsia" w:ascii="黑体" w:hAnsi="黑体" w:eastAsia="黑体" w:cs="黑体"/>
          <w:sz w:val="36"/>
          <w:szCs w:val="36"/>
          <w:shd w:val="clear" w:color="auto" w:fill="FFFFFF"/>
        </w:rPr>
      </w:pPr>
    </w:p>
    <w:p/>
    <w:p>
      <w:pPr>
        <w:numPr>
          <w:ilvl w:val="0"/>
          <w:numId w:val="0"/>
        </w:numPr>
        <w:snapToGrid w:val="0"/>
        <w:spacing w:line="360" w:lineRule="auto"/>
        <w:rPr>
          <w:rFonts w:hint="eastAsia" w:ascii="Times New Roman" w:hAnsi="Times New Roman" w:eastAsia="黑体" w:cs="Times New Roman"/>
          <w:bCs/>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41825BF"/>
    <w:rsid w:val="06587E61"/>
    <w:rsid w:val="081F1A6E"/>
    <w:rsid w:val="096C38C8"/>
    <w:rsid w:val="0E945BA9"/>
    <w:rsid w:val="14106A5E"/>
    <w:rsid w:val="1E3B741C"/>
    <w:rsid w:val="1E9217B7"/>
    <w:rsid w:val="1FD910FA"/>
    <w:rsid w:val="24656B51"/>
    <w:rsid w:val="34A93DC6"/>
    <w:rsid w:val="36A6405A"/>
    <w:rsid w:val="36B9778D"/>
    <w:rsid w:val="3945559B"/>
    <w:rsid w:val="3E242CB3"/>
    <w:rsid w:val="52CB03E8"/>
    <w:rsid w:val="545E5310"/>
    <w:rsid w:val="566454DD"/>
    <w:rsid w:val="566F1E46"/>
    <w:rsid w:val="57266709"/>
    <w:rsid w:val="57501C20"/>
    <w:rsid w:val="5AC16EF5"/>
    <w:rsid w:val="63600718"/>
    <w:rsid w:val="676E37C1"/>
    <w:rsid w:val="694D5BF2"/>
    <w:rsid w:val="69C10F02"/>
    <w:rsid w:val="75B96404"/>
    <w:rsid w:val="7BD970C9"/>
    <w:rsid w:val="7D0932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列出段落2"/>
    <w:basedOn w:val="1"/>
    <w:qFormat/>
    <w:uiPriority w:val="99"/>
    <w:pPr>
      <w:ind w:firstLine="420" w:firstLineChars="200"/>
    </w:pPr>
  </w:style>
  <w:style w:type="paragraph" w:customStyle="1" w:styleId="6">
    <w:name w:val="_Style 2"/>
    <w:basedOn w:val="1"/>
    <w:qFormat/>
    <w:uiPriority w:val="34"/>
    <w:pPr>
      <w:ind w:firstLine="420" w:firstLineChars="200"/>
    </w:pPr>
  </w:style>
  <w:style w:type="paragraph" w:customStyle="1" w:styleId="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黑体"/>
      <w:sz w:val="28"/>
      <w:szCs w:val="22"/>
      <w:lang w:val="en-US" w:eastAsia="zh-CN" w:bidi="ar-SA"/>
    </w:rPr>
  </w:style>
  <w:style w:type="character" w:customStyle="1" w:styleId="8">
    <w:name w:val="font01"/>
    <w:basedOn w:val="2"/>
    <w:qFormat/>
    <w:uiPriority w:val="0"/>
    <w:rPr>
      <w:rFonts w:ascii="Arial" w:hAnsi="Arial" w:cs="Arial"/>
      <w:color w:val="000000"/>
      <w:sz w:val="24"/>
      <w:szCs w:val="24"/>
      <w:u w:val="none"/>
    </w:rPr>
  </w:style>
  <w:style w:type="character" w:customStyle="1" w:styleId="9">
    <w:name w:val="font21"/>
    <w:basedOn w:val="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YZ</cp:lastModifiedBy>
  <cp:lastPrinted>2017-02-16T10:20:00Z</cp:lastPrinted>
  <dcterms:modified xsi:type="dcterms:W3CDTF">2018-12-28T08:00:56Z</dcterms:modified>
  <dc:title>附件3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